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/>
      </w:pPr>
      <w:bookmarkStart w:colFirst="0" w:colLast="0" w:name="_gq7s4d7i1lmw" w:id="0"/>
      <w:bookmarkEnd w:id="0"/>
      <w:r w:rsidDel="00000000" w:rsidR="00000000" w:rsidRPr="00000000">
        <w:rPr>
          <w:rtl w:val="0"/>
        </w:rPr>
        <w:t xml:space="preserve">Medication Management Quiz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Generally, how many medications need to be used per day to be defined as polypharmacy?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List six potential symptoms caused by polypharmacy: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3. What two common conditions of aging make medication self-management difficult?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4. List seven strategies or tools that can be used to help geriatric patients better manage multiple medications: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